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6484"/>
      </w:tblGrid>
      <w:tr w:rsidR="00E53103" w:rsidRPr="00E53103" w14:paraId="2AE7C818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1CB21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ÓRGÃO MUNICIPAL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A5CD2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pt-BR"/>
              </w:rPr>
              <w:t>LEGISLAÇÃO</w:t>
            </w:r>
          </w:p>
        </w:tc>
      </w:tr>
      <w:tr w:rsidR="00E53103" w:rsidRPr="00E53103" w14:paraId="5512D1CD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F41876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01. IPAMB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B353D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Lei n° 7.653, de 31/08/1993 (DOM nº 7.593, de 03/09/1993)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Estabelece a estrutura organizacional e dispõe sobre o Plano de Carreira do Quadro de Pessoal do Instituto de Previdência do Município de Belém – IPAMB,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Lei nº 7.984, de 30/12/1999 (DOM nº 9.147, de 30/12/1999)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Dispõe sobre o plano de seguridade social dos servidores do Município de Belém,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Estabelece as diretrizes do Plano de Previdência Municipal.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3. Lei nº 8.234, de 31/01/2003 (Republicada DOM nº 10.055, de 30/10/2003)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dispositivos da Lei nº 7.984, de 30/12/99 </w:t>
            </w:r>
            <w:r w:rsidRPr="00E53103">
              <w:rPr>
                <w:rFonts w:ascii="Arial" w:eastAsia="Times New Roman" w:hAnsi="Arial" w:cs="Arial"/>
                <w:i/>
                <w:iCs/>
                <w:color w:val="2C2B2B"/>
                <w:sz w:val="16"/>
                <w:szCs w:val="16"/>
                <w:lang w:eastAsia="pt-BR"/>
              </w:rPr>
              <w:t>(cria o IPAMB)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4. Lei nº 8.294, de 30/12/2003 (DOM nº 10.096, de 31/12/03)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dispositivos da Lei nº 7.653, de 31 de agosto de 1993, e dá outras providências.</w:t>
            </w:r>
          </w:p>
          <w:p w14:paraId="31166537" w14:textId="77777777" w:rsidR="00E53103" w:rsidRPr="00E53103" w:rsidRDefault="00E53103" w:rsidP="00E53103">
            <w:pPr>
              <w:numPr>
                <w:ilvl w:val="0"/>
                <w:numId w:val="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8.466, de 30/11/2005 (DOM nº 10.551, de 30/11/2005)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Dispõe sobre a reestruturação do Instituto de Previdência do Município de Belém – IPAMB, no particular ao Regime Próprio de Previdência Social do Município de Belém/PA, e dá outras providências.</w:t>
            </w:r>
          </w:p>
          <w:p w14:paraId="4335B2B7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6. Lei nº 8.790, de 30/12/2010 (DOM nº 11.765, de 30/12/2010)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Estabelece a segregação de massa de segurados do Regime Próprio de Previdência Social do Município de Belém – RPPS,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7. Lei nº 8.794, de 11/01/2011 (DOM nº 11.772, de 11/01/2011)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dispositivos da Lei nº 7.653, de 31 de agosto de 1993, e Lei nº 8.294, de 30 de dezembro de 2003,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8. Lei nº 8.856, de 01/06/2011 (DOM nº 11.867, 2º caderno de 01/06/2011)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Altera dispositivos da Lei nº 7.984, de 30 de dezembro de 1999, que “Dispõe sobre o Plano de Seguridade Social dos Servidores do Município de Belém, e dá outras providências”.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 Decreto nº 37.522, de 31/08/2000 (DOM nº 9.308, de 01/09/2000)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Regulamento da Lei nº 7.984, de 30/12/1999.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Decreto nº 46.332, de 30/11/2004 (DOM nº 10.315, de 01/12/2004, 2º caderno)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Homologa o regulamento do INSTITUTO DE PREVIDÊNCIA E ASSISTÊNCIA DO MUNICÍPIO DE BELÉM – IPAMB,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3. Decreto nº 65.323, de 09/12/2010 (DOM nº 11.755, de 15/12/2010)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Determina que os atos concedendo vantagens aos funcionários do IPAMB, sejam homologados pelo Prefeito.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01. Port. 929/2009 – GP/IPAMB, de 17/08/2009 (DOM nº 11.553, de 02/02/2010, republicada no DOM nº 11.553, de 02/02/2012)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Regulamenta o acesso dos servidores através da progressão funcional por merecimento.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02. Port. Nº 0457-A – GP/IPAMB, de 06/05/2009 (DOM nº 11.471, de 24/09/2009)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Regulamenta a cessão dos funcionários efetivos do IPAMB.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03. Port. nº 1.464/2010 – GP/IPAMB, de 03/12/2010 (DOM nº 11.754, de 14/12/2010)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Revoga as Gratificações por Atividades Especiais (GAE) concedidas no IPAMB, fixa a jornada de trabalho dos servidores dos Postos de Serviço.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Resoluções:</w:t>
            </w:r>
          </w:p>
          <w:p w14:paraId="7E15F81C" w14:textId="77777777" w:rsidR="00E53103" w:rsidRPr="00E53103" w:rsidRDefault="00E53103" w:rsidP="00E53103">
            <w:pPr>
              <w:numPr>
                <w:ilvl w:val="0"/>
                <w:numId w:val="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Res. 02/2006-CONDEL/IPAMB (DOM nº 10.683, de 20/06/2006)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Fixa requisitos básicos para o reconhecimento de União Estável pelo IPAMB. Republicada no DOM nº 10.764, de 19/10/2006.</w:t>
            </w:r>
          </w:p>
          <w:p w14:paraId="2BDC3E03" w14:textId="77777777" w:rsidR="00E53103" w:rsidRPr="00E53103" w:rsidRDefault="00E53103" w:rsidP="00E53103">
            <w:pPr>
              <w:numPr>
                <w:ilvl w:val="0"/>
                <w:numId w:val="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Res. 03/2006-CONDEL/IPAMB (DOM nº 10.683, de 20/06/2006)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regimento interno do Conselho Deliberativo – CONDEL, do IPAMB.</w:t>
            </w:r>
          </w:p>
          <w:p w14:paraId="3B43CC09" w14:textId="77777777" w:rsidR="00E53103" w:rsidRPr="00E53103" w:rsidRDefault="00E53103" w:rsidP="00E53103">
            <w:pPr>
              <w:numPr>
                <w:ilvl w:val="0"/>
                <w:numId w:val="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Res. 06/2006 – CONDEL/IPAMB, de 29/08/2006 (DOM nº 10.764, de 19/10/2006)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Fixa normas e procedimentos para o uso da ambulância do IPAMB.</w:t>
            </w:r>
          </w:p>
          <w:p w14:paraId="32F75208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04. Resolução nº 06/2010 – CONDEL/IPAMB, de 15/03/2010 (DOM nº 11.580, de 16/03/2010)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Regulamenta os benefícios (AUXÍLIO SAÚDE, AUXÍLIO TFD – TRATAMENTO FORA DO DOMICÍLIO E ASSISTÊNCIA FUNERAL) que especifica e dá outras providências. Republicada no DOM nº 11.601, de 16/04/2010.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05. Res. 01/2010 – CONDEL/IPAMB, de 04/01/2010 (DOM nº 11.617, de 11/05/2010)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Dispõe sobre a criação do Comitê de investimento do IPAMB do Município de Belém e define suas diretrizes de funcionamento.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06. Res. 08/2010 – CONDEL/IPAMB, de 25/03/2010 (DOM nº 11.601, de 16/04/2010)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Estabelece cotas relativas aos exames realizados junto à rede credenciada do PABSS.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07. Res. 03/2012 – CONSAU/DE/IPAMB, de 28/02/2012 (DOM nº 12.048, de 09/03/2012)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Autoriza o pagamento de plantão extraordinário, eventuais e nos dias facultados aos médicos lotados no Posto de Atendimento – PA/IPAMB.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08. Res. 04/2012 – CONSAUDE/IPAMB, de 28/02/2012 (DOM nº 12.080, de 26/04/2012)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Regulamenta a inscrição de novos funcionários assim como dependentes no IPAMB.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09. Res. 06/2012 – CONSAUDE/IPMAB, de 19/03/2012 (DOM nº 12.080, de 26/04/2012)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Autoriza o IPAMB a conceder financiamento a tratamentos de Odontologia – Documentação ortodôntica, Periodontia, Endodontia, Ortodontia, Próteses.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Ordem de Serviço: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OS nº 01/1998 – GP/IPMB, de 29/05/1998 (DOM nº 8.791, de 01/07/1998)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Regulamenta a apresentação de Atestados Médicos expedidos pelo IPAMB.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Regimento Interno: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Regimento Interno do Conselho Fiscal do IPAMB (DOM nº 11.745, de 30/11/2010)</w:t>
            </w:r>
          </w:p>
        </w:tc>
      </w:tr>
      <w:tr w:rsidR="00E53103" w:rsidRPr="00E53103" w14:paraId="658B921A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77798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02. FUNPAPA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3DF0F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</w:p>
          <w:p w14:paraId="5110F7F3" w14:textId="77777777" w:rsidR="00E53103" w:rsidRPr="00E53103" w:rsidRDefault="00E53103" w:rsidP="00E53103">
            <w:pPr>
              <w:numPr>
                <w:ilvl w:val="0"/>
                <w:numId w:val="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Lei nº 6.022, de 08/05/1966 (DOM nº 899, de 19/06/1966)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Autoriza o Poder Executivo a instituir a FUNDAÇÃO PAPA JOÃO XXIII; o Corpo de Voluntários para o Serviço Social; cria o Fundo de Serviço Social de Belém; abre o crédito especial de Cr$300.000,00 e dá outras providências.</w:t>
            </w:r>
          </w:p>
          <w:p w14:paraId="1304F348" w14:textId="77777777" w:rsidR="00E53103" w:rsidRPr="00E53103" w:rsidRDefault="00E53103" w:rsidP="00E53103">
            <w:pPr>
              <w:numPr>
                <w:ilvl w:val="0"/>
                <w:numId w:val="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7.231, de 14/11/1983 (DOM nº 5.188, de 16/11/1983)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a Lei Municipal n. 6.022, de 08/05/66, que “institui a Fundação Papa João XXIII e dá outras providências”.</w:t>
            </w:r>
          </w:p>
          <w:p w14:paraId="3FF5C801" w14:textId="77777777" w:rsidR="00E53103" w:rsidRPr="00E53103" w:rsidRDefault="00E53103" w:rsidP="00E53103">
            <w:pPr>
              <w:numPr>
                <w:ilvl w:val="0"/>
                <w:numId w:val="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7.505, de 08/01/1991 (DOM nº 6.950, de 15/01/1991)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Confere personalidade pública à Fundação Papa João XXIII, altera dispositivos da Lei n. 7.231, de 14/11/83, e dá outras providências.</w:t>
            </w:r>
          </w:p>
          <w:p w14:paraId="5306A6B4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4. Lei nº 8.447, de 20/07/2005 (DOM nº 10.466, de 20/07/2005)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Dispõe sobre o plano de cargos e carreira da Fundação Papa João XXIII – FUNPAPA.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</w:p>
          <w:p w14:paraId="41362726" w14:textId="77777777" w:rsidR="00E53103" w:rsidRPr="00E53103" w:rsidRDefault="00E53103" w:rsidP="00E53103">
            <w:pPr>
              <w:numPr>
                <w:ilvl w:val="0"/>
                <w:numId w:val="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21.414, de 08/02/1990 (DOM nº 6.747, de 19/02/1990)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Homologa a Resolução n. CD 001/90, de 26/01/90, do Conselho Deliberativo da Fundação Papa João XXIII.</w:t>
            </w:r>
          </w:p>
          <w:p w14:paraId="5588BBE3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Port. 1017/90 – FUNPAPA, de 19/10/1990 (DOM nº 6.910, de 25/10/1990)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Delega poderes à Diretoria Geral da FUNPAPA para assinar cheques e portarias de elogios, férias, punições e licenças.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Resoluções:</w:t>
            </w:r>
          </w:p>
          <w:p w14:paraId="799CE08F" w14:textId="77777777" w:rsidR="00E53103" w:rsidRPr="00E53103" w:rsidRDefault="00E53103" w:rsidP="00E53103">
            <w:pPr>
              <w:numPr>
                <w:ilvl w:val="0"/>
                <w:numId w:val="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CD 001/90 – FUNPAPA (DOM nº 6.747, de 19/02/1990)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novo organograma da Fundação Papa João XXIII.</w:t>
            </w:r>
          </w:p>
          <w:p w14:paraId="125FB9C6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Resolução nº 017/90 – FUNPAPA, DE 24/10/1990 (DOM nº 6.936, de 18/12/1990)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Plano de Cargos e Salários da FUNPAPA.</w:t>
            </w:r>
          </w:p>
          <w:p w14:paraId="7D66A317" w14:textId="77777777" w:rsidR="00E53103" w:rsidRPr="00E53103" w:rsidRDefault="00E53103" w:rsidP="00E53103">
            <w:pPr>
              <w:numPr>
                <w:ilvl w:val="0"/>
                <w:numId w:val="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CD 004/91 – FUNPAPA (DOM nº 6.983, de 08/03/1991)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Estatuto da Fundação Papa João XXIII.</w:t>
            </w:r>
          </w:p>
        </w:tc>
      </w:tr>
      <w:tr w:rsidR="00E53103" w:rsidRPr="00E53103" w14:paraId="2166E13E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70ED40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03. FMAE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A891E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</w:p>
          <w:p w14:paraId="377B07B6" w14:textId="77777777" w:rsidR="00E53103" w:rsidRPr="00E53103" w:rsidRDefault="00E53103" w:rsidP="00E53103">
            <w:pPr>
              <w:numPr>
                <w:ilvl w:val="0"/>
                <w:numId w:val="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7.347, de 14/10/1986 (DOM nº 5.927, de 21/10/1986)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Autoriza o Poder Executivo a criar a Fundação Municipal de Assistência ao Estudante (FMAE) e dá outras providências.</w:t>
            </w:r>
          </w:p>
          <w:p w14:paraId="05E3935C" w14:textId="77777777" w:rsidR="00E53103" w:rsidRPr="00E53103" w:rsidRDefault="00E53103" w:rsidP="00E53103">
            <w:pPr>
              <w:numPr>
                <w:ilvl w:val="0"/>
                <w:numId w:val="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7.458, de 18/07/1989 (DOM nº 6.606, de 21/07/1989)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a Lei Municipal n. 7.347, de 14/10/86, para conferir personalidade jurídica de Fundação Pública à FMAE, e dá outras providências.</w:t>
            </w:r>
          </w:p>
          <w:p w14:paraId="0698D36B" w14:textId="77777777" w:rsidR="00E53103" w:rsidRPr="00E53103" w:rsidRDefault="00E53103" w:rsidP="00E53103">
            <w:pPr>
              <w:numPr>
                <w:ilvl w:val="0"/>
                <w:numId w:val="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7.488, de 29/05/1990 (DOM nº 6.816, de 04/06/1990)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Extingue a remuneração pela participação em órgãos de deliberação coletiva, fixa vencimentos dos cargos de direção e assessoramento e dá outras providências.</w:t>
            </w:r>
          </w:p>
          <w:p w14:paraId="2FF35CAE" w14:textId="77777777" w:rsidR="00E53103" w:rsidRPr="00E53103" w:rsidRDefault="00E53103" w:rsidP="00E53103">
            <w:pPr>
              <w:numPr>
                <w:ilvl w:val="0"/>
                <w:numId w:val="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Artigo 6º – Muda a nomenclatura de Superintende da FMAE para Presidente.</w:t>
            </w:r>
          </w:p>
          <w:p w14:paraId="26374A84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</w:p>
          <w:p w14:paraId="3232727C" w14:textId="77777777" w:rsidR="00E53103" w:rsidRPr="00E53103" w:rsidRDefault="00E53103" w:rsidP="00E53103">
            <w:pPr>
              <w:numPr>
                <w:ilvl w:val="0"/>
                <w:numId w:val="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31.665, de 03/11/1997 (DOM nº 8.682, de 16/01/1998)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o quantitativo de estagiários da FMAE.</w:t>
            </w:r>
          </w:p>
          <w:p w14:paraId="545ED24B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Resoluções:</w:t>
            </w:r>
          </w:p>
          <w:p w14:paraId="54B65984" w14:textId="77777777" w:rsidR="00E53103" w:rsidRPr="00E53103" w:rsidRDefault="00E53103" w:rsidP="00E53103">
            <w:pPr>
              <w:numPr>
                <w:ilvl w:val="0"/>
                <w:numId w:val="1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001/90 CD – FMAE (DOM nº 6.741, de 09/02/1990)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Estatuto da FMAE.</w:t>
            </w:r>
          </w:p>
          <w:p w14:paraId="729507B9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Homologada pelo Decreto nº 21.405, de 01/02/1990 (DOM nº 6.741, de 09/02/1990) – Homologa a Resolução 001/90, de 11/01/90, do Conselho Diretor da FMAE.</w:t>
            </w:r>
          </w:p>
          <w:p w14:paraId="5A563E30" w14:textId="77777777" w:rsidR="00E53103" w:rsidRPr="00E53103" w:rsidRDefault="00E53103" w:rsidP="00E53103">
            <w:pPr>
              <w:numPr>
                <w:ilvl w:val="0"/>
                <w:numId w:val="1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005/90 CD – FMAE (DOM nº 6.774, de 02/04/1990)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Aprova a estrutura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organo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funcional da FMAE.</w:t>
            </w:r>
          </w:p>
          <w:p w14:paraId="399CAC8D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Homologada pelo Decreto nº 21.690, de 30/03/1990 (DOM nº 6.774, de 02/04/1990) – Homologa a Resolução n. 005 CD – FMAE, do Conselho Diretor da Fundação Municipal de Assistência ao Estudante (FMAE), datada de 29/03/90.</w:t>
            </w:r>
          </w:p>
          <w:p w14:paraId="4A947364" w14:textId="77777777" w:rsidR="00E53103" w:rsidRPr="00E53103" w:rsidRDefault="00E53103" w:rsidP="00E53103">
            <w:pPr>
              <w:numPr>
                <w:ilvl w:val="0"/>
                <w:numId w:val="1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018/90 CD – FMAE (DOM nº 6.959, de 28/01/1991)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o texto do Estatuto da FMAE.</w:t>
            </w:r>
          </w:p>
          <w:p w14:paraId="3C1B98D2" w14:textId="77777777" w:rsidR="00E53103" w:rsidRPr="00E53103" w:rsidRDefault="00E53103" w:rsidP="00E53103">
            <w:pPr>
              <w:numPr>
                <w:ilvl w:val="0"/>
                <w:numId w:val="1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020/90 CD – FMAE (DOM nº 6.960, de 29/01/1991)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Aprova o Regimento Interno da FMAE.</w:t>
            </w:r>
          </w:p>
          <w:p w14:paraId="09C293CC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Homologada pelo Decreto nº 22.518-A, de 28/12/1990 (DOM nº 6.960, de 29/01/1991) – Homologa a Resolução n. 020/90 CD – FMAE, de 18/12/1990, do Conselho Diretor da FMAE, que aprova o Regimento Interno da Fundação.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5. Resolução nº 003/91 – CD/FMAE (DOM nº 7.022, de 09/05/1991)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Adequa o Plano de Classificação de Cargos da FMAE do Plano de Carreira do Quadro de Pessoal da PMB.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 Homologada pelo Decreto nº 22.799, de 03/05/1991 (DOM nº 7.022, de 09/05/1991)</w:t>
            </w:r>
          </w:p>
          <w:p w14:paraId="08ACB4FB" w14:textId="77777777" w:rsidR="00E53103" w:rsidRPr="00E53103" w:rsidRDefault="00E53103" w:rsidP="00E53103">
            <w:pPr>
              <w:numPr>
                <w:ilvl w:val="0"/>
                <w:numId w:val="1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Resolução nº 004/2006-CD/FMAE (DOM nº 10.657, 2º caderno, de 12/05/2006)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Muda a denominação do cargo em comissão de Assessor da Presidência para Assessor Jurídico. Regimento Interno</w:t>
            </w:r>
          </w:p>
          <w:p w14:paraId="64A7B9AD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Homologada pelo Decreto nº 50.766, de 27/03/2006 (DOM nº 10.657, 2º caderno, de 12/05/2006) – Homologa a Res. N. 004/2006-CD/FMAE, do Conselho Diretor da FMAE.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Republicado no DOM nº 10.685, de 22/06/2006, 2º cad.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Instruções Normativa:</w:t>
            </w:r>
          </w:p>
          <w:p w14:paraId="118B2068" w14:textId="77777777" w:rsidR="00E53103" w:rsidRPr="00E53103" w:rsidRDefault="00E53103" w:rsidP="00E53103">
            <w:pPr>
              <w:numPr>
                <w:ilvl w:val="0"/>
                <w:numId w:val="1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IN nº 001/2007 – FMAE, de 20/12/2007 (DOM nº 11.063, de 23/01/2008)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Estabelece normas à execução do remanejo dos gêneros alimentícios das unidades escolares para a armazenagem da FMAE.</w:t>
            </w:r>
          </w:p>
        </w:tc>
      </w:tr>
      <w:tr w:rsidR="00E53103" w:rsidRPr="00E53103" w14:paraId="3C1BDDCB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BC87E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04. FUMBEL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A72965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</w:p>
          <w:p w14:paraId="5BEBD432" w14:textId="77777777" w:rsidR="00E53103" w:rsidRPr="00E53103" w:rsidRDefault="00E53103" w:rsidP="00E53103">
            <w:pPr>
              <w:numPr>
                <w:ilvl w:val="0"/>
                <w:numId w:val="1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7.455, de 17/07/1989 (DOM nº 6.606, de 21/07/1989)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Autoriza a criação da Fundação Cultural do Município de Belém e dá outras providências.</w:t>
            </w:r>
          </w:p>
          <w:p w14:paraId="01385E1B" w14:textId="77777777" w:rsidR="00E53103" w:rsidRPr="00E53103" w:rsidRDefault="00E53103" w:rsidP="00E53103">
            <w:pPr>
              <w:numPr>
                <w:ilvl w:val="0"/>
                <w:numId w:val="1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7.488, de 29/05/1990(DOM nº 9.816, de 04/06/1990)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Extingue a remuneração pela participação em órgãos de deliberação coletiva, fixa vencimento dos cargos de direção e assessoramento superior e dá outras providências.</w:t>
            </w:r>
          </w:p>
          <w:p w14:paraId="6A7EE069" w14:textId="77777777" w:rsidR="00E53103" w:rsidRPr="00E53103" w:rsidRDefault="00E53103" w:rsidP="00E53103">
            <w:pPr>
              <w:numPr>
                <w:ilvl w:val="0"/>
                <w:numId w:val="1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7.491, de 06/06/1990 (DOM nº 6826, de 19/06/1990)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Reorganiza e altera a estrutura de órgãos da Administração Municipal e dá outras providências.</w:t>
            </w:r>
          </w:p>
          <w:p w14:paraId="20741B9A" w14:textId="77777777" w:rsidR="00E53103" w:rsidRPr="00E53103" w:rsidRDefault="00E53103" w:rsidP="00E53103">
            <w:pPr>
              <w:numPr>
                <w:ilvl w:val="0"/>
                <w:numId w:val="1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Artigo 7º – Estabelece o cargo de presidente da FUMBEL como DAS 200.9.</w:t>
            </w:r>
          </w:p>
          <w:p w14:paraId="2153A0C3" w14:textId="77777777" w:rsidR="00E53103" w:rsidRPr="00E53103" w:rsidRDefault="00E53103" w:rsidP="00E53103">
            <w:pPr>
              <w:numPr>
                <w:ilvl w:val="0"/>
                <w:numId w:val="1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a Lei nº 7.455, de 17/07/1989.</w:t>
            </w:r>
          </w:p>
          <w:p w14:paraId="204B2D10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4. Lei nº 8.943, de 31/07/2012 (DOM nº 12.144, 2º caderno, de 31/07/2012)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– Institui o Sistema Municipal de Cultura de Belém – “Lei Valmir Bispo dos Santos”, dispõe sobre seus princípios, objetivos, estrutura, organização, gestão, inter-relações entre os seus componentes, financiamento e dá outras providências, em conformidade com a Constituição da República Federativa do Brasil, a Lei Orgânica do Município de Belém e o Plano Diretor de Belém.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</w:p>
          <w:p w14:paraId="7F0C7894" w14:textId="77777777" w:rsidR="00E53103" w:rsidRPr="00E53103" w:rsidRDefault="00E53103" w:rsidP="00E53103">
            <w:pPr>
              <w:numPr>
                <w:ilvl w:val="0"/>
                <w:numId w:val="1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21.762, de 18/04/1990 (DOM nº 6.790, de 26/04/1990)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Estabelece a vinculação da Fundação Cultural do Município de Belém (FUMBEL) à Secretaria Municipal de Educação.</w:t>
            </w:r>
          </w:p>
          <w:p w14:paraId="1C7AC7B2" w14:textId="77777777" w:rsidR="00E53103" w:rsidRPr="00E53103" w:rsidRDefault="00E53103" w:rsidP="00E53103">
            <w:pPr>
              <w:numPr>
                <w:ilvl w:val="0"/>
                <w:numId w:val="1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21.763, de 18/04/1990 (DOM nº 6.790, de 26/04/1990)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Estatuto da Fundação Cultural do Município de Belém (FUMBEL).</w:t>
            </w:r>
          </w:p>
          <w:p w14:paraId="2D4BA9F1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3. Decreto nº 21.821, de 04/05/1990 (DOM nº 6.799, de 10/05/1990)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Aprova a estrutura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organo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funcional e o plano de classificação de cargos da FUMBEL.</w:t>
            </w:r>
          </w:p>
          <w:p w14:paraId="4AC357D2" w14:textId="77777777" w:rsidR="00E53103" w:rsidRPr="00E53103" w:rsidRDefault="00E53103" w:rsidP="00E53103">
            <w:pPr>
              <w:numPr>
                <w:ilvl w:val="0"/>
                <w:numId w:val="1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21.824, de 04/05/1990 (DOM nº 6.799, de 10/05/1990)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Aprova a estrutura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organo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funcional e o plano de cargos da Fundação Cultural do Município de Belém – FUMBEL.</w:t>
            </w:r>
          </w:p>
          <w:p w14:paraId="430CE1E4" w14:textId="77777777" w:rsidR="00E53103" w:rsidRPr="00E53103" w:rsidRDefault="00E53103" w:rsidP="00E53103">
            <w:pPr>
              <w:numPr>
                <w:ilvl w:val="0"/>
                <w:numId w:val="1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31.910, de 15/12/1997 (DOM nº 8.666, de 16/12/1997)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Confere poderes à Fundação Cultural do Município de Belém para administrar a Necrópole Pública da Soledade, e dá outras providências.</w:t>
            </w:r>
          </w:p>
          <w:p w14:paraId="6042B00F" w14:textId="77777777" w:rsidR="00E53103" w:rsidRPr="00E53103" w:rsidRDefault="00E53103" w:rsidP="00E53103">
            <w:pPr>
              <w:numPr>
                <w:ilvl w:val="0"/>
                <w:numId w:val="1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55.669, de 04/06/2008 (DOM nº 11.148, de 04/06/2008)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Dispõe sobre alterações nas estruturas da SEMEC e da FUMBEL, decorrentes da criação da SEJEL, e dá outras providências.</w:t>
            </w:r>
          </w:p>
          <w:p w14:paraId="79690D2E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Portaria nº 162/2013 – GAPRES/FUMBEL, de 22/11/2013 (DOM nº 12.461, DE 27/11/2013)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Estabelece o horário de funcionamento da FUMBEL.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Instrução Normativa: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Instrução Normativa nº 004/98 – GAPRES/FUMBEL, de 31/08/1998 (DOM nº 8.846, de 21/09/1998)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Estabelece o regime de plantão em eventos patrocinados pela FUMBEL, em decorrência de abono concedido pelo Dec. 31.936/1997.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Instrução Normativa nº 001/2011 – GAPRES-FUMBEL, de 27/06/2011 (DOM nº 11.893, de 12/07/2011)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Regulamenta no âmbito da fundação Cultural do Município De Belém – FUMBEL, a   aplicação do Abono   Pecuniário, criado pelo Decreto   n° 31.936/97 –   PMB, de 30/12/1997.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Resoluções:</w:t>
            </w:r>
          </w:p>
          <w:p w14:paraId="4E2BA6D4" w14:textId="77777777" w:rsidR="00E53103" w:rsidRPr="00E53103" w:rsidRDefault="00E53103" w:rsidP="00E53103">
            <w:pPr>
              <w:numPr>
                <w:ilvl w:val="0"/>
                <w:numId w:val="20"/>
              </w:numPr>
              <w:spacing w:after="105" w:line="240" w:lineRule="auto"/>
              <w:ind w:left="117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02/91 CD – FUMBEL (DOM nº 7.058, de 01/07/1991)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Altera a estrutura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organo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-funcional e o plano de classificação de cargos da FUMBEL.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Homologada pelo Decreto nº 22.942, de 18/06/1991 (DOM nº 7.058, de 01/07/1991)</w:t>
            </w:r>
          </w:p>
          <w:p w14:paraId="7BABFC70" w14:textId="77777777" w:rsidR="00E53103" w:rsidRPr="00E53103" w:rsidRDefault="00E53103" w:rsidP="00E53103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Resolução nº 003/91 – CD/FUMBEL de 28/05/1991 (DOM nº 7.059, de 02/07/1991)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Adequa o plano de classificação de cargos da FUMBEL ao plano de carreira do quadro 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lastRenderedPageBreak/>
              <w:t>de pessoal da PMB.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 Homologada pelo Decreto nº22.943, de 18/06/1991 (DOM nº 7.059, de 02/07/1991)</w:t>
            </w:r>
          </w:p>
          <w:p w14:paraId="10004455" w14:textId="77777777" w:rsidR="00E53103" w:rsidRPr="00E53103" w:rsidRDefault="00E53103" w:rsidP="00E53103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3. Resolução nº 004/91 CD – FUMBEL, de 31/01/1991 (DOM nº 6.983, de 08/03/1991)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Aprova o novo Estatuto da FUMBEL.</w:t>
            </w:r>
          </w:p>
          <w:p w14:paraId="754A3D3A" w14:textId="77777777" w:rsidR="00E53103" w:rsidRPr="00E53103" w:rsidRDefault="00E53103" w:rsidP="00E53103">
            <w:pPr>
              <w:numPr>
                <w:ilvl w:val="0"/>
                <w:numId w:val="21"/>
              </w:numPr>
              <w:spacing w:after="105" w:line="240" w:lineRule="auto"/>
              <w:ind w:left="117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01/96 CD – FUMBEL (DOM nº 8.299, de 02/07/1996)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o plano de cargos com distribuição quantitativa por categoria funcional do quadro de pessoal da FUMBEL.</w:t>
            </w:r>
          </w:p>
        </w:tc>
      </w:tr>
      <w:tr w:rsidR="00E53103" w:rsidRPr="00E53103" w14:paraId="27436489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89B2D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05. SEMOB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AMUB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CTBEL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Somente área administrativa da CTBEL. Vide arquivo CTBEL em Documentos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5CC71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Leis:</w:t>
            </w:r>
          </w:p>
          <w:p w14:paraId="6C80BC47" w14:textId="77777777" w:rsidR="00E53103" w:rsidRPr="00E53103" w:rsidRDefault="00E53103" w:rsidP="00E53103">
            <w:pPr>
              <w:spacing w:before="300" w:after="7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3"/>
                <w:szCs w:val="33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eastAsia="pt-BR"/>
              </w:rPr>
              <w:t>Lei nº 7.177, de 21/09/1981 (DOM nº 4.692, 17.11.1981) -Fica autorizada a criação da Secretaria Mu</w:t>
            </w:r>
            <w:r w:rsidRPr="00E5310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eastAsia="pt-BR"/>
              </w:rPr>
              <w:softHyphen/>
              <w:t>nicipal de Trânsito Urbano, e dá outras pro</w:t>
            </w:r>
            <w:r w:rsidRPr="00E5310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eastAsia="pt-BR"/>
              </w:rPr>
              <w:softHyphen/>
              <w:t>vidências.</w:t>
            </w:r>
          </w:p>
          <w:p w14:paraId="21C3D699" w14:textId="77777777" w:rsidR="00E53103" w:rsidRPr="00E53103" w:rsidRDefault="00E53103" w:rsidP="00E53103">
            <w:pPr>
              <w:spacing w:before="300" w:after="7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3"/>
                <w:szCs w:val="33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eastAsia="pt-BR"/>
              </w:rPr>
              <w:t xml:space="preserve">Lei nº 7.475, de 28/12/1989 (DOM nº 6712, 2º </w:t>
            </w:r>
            <w:proofErr w:type="spellStart"/>
            <w:r w:rsidRPr="00E5310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eastAsia="pt-BR"/>
              </w:rPr>
              <w:t>cad</w:t>
            </w:r>
            <w:proofErr w:type="spellEnd"/>
            <w:r w:rsidRPr="00E53103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eastAsia="pt-BR"/>
              </w:rPr>
              <w:t>, de 29/12/89, revogada pela Lei nº 8.227, de 30/12/2002 – DOM nº 9858, de 30/12/2002) – Cria a COMPANHIA DE TRANSPORTES DO MUNICÍPIO DE BELÉM (CTBEL), autoriza medidas transitórias referentes ao transporte de passageiros e dá outras providências.</w:t>
            </w:r>
          </w:p>
          <w:p w14:paraId="710C6726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Lei nº 7.873, de 11/03/1998 (DOM nº 8746, 2º </w:t>
            </w:r>
            <w:proofErr w:type="spellStart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cad</w:t>
            </w:r>
            <w:proofErr w:type="spellEnd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, de 24/04/1998)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Cria o Conselho de Transporte do Município de Belém,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8.227, de 30/12/2002 (DOM nº 9.858, de 30/12/2002)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Transforma a Companhia de Transportes do Município de Belém – CTBEL em autarquia especial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8.944, de 31/07/2012 (DOM nº 12.144, 2º caderno de 31/07/2012)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Dispõe sobre a criação do PCCR – Plano de Cargos, Carreira e Remuneração da Companhia de Transportes do Município de Belém- CTBEL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8.951, de 30/08/2012 (DOM nº 12.167, 03/09/2012)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a denominação da Companhia de Transportes do Município de Belém – CTBEL para Autarquia de Mobilidade Urbana de Belém – AMUB,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9.031, de 18/09/2013 (DOM nº 12.414, de 18/09/2013)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a Lei nº 8.227, de 30 de dezembro de 2002, com as alterações da Lei nº 8.951, de 30 de agosto de 2012,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Altera a denominação da CTBEL/AMUB para SEMOB.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Decretos: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34.921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 de 21/01/1999 (DOM nº 8.928, de 27/01/1999, alterado pelo Decreto nº 36.337, de 16/02/2000)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Cria as JARIS – Juntas Administrativas de Recursos de Infrações (Regimento Interno).</w:t>
            </w:r>
          </w:p>
          <w:p w14:paraId="03DE0628" w14:textId="77777777" w:rsidR="00E53103" w:rsidRPr="00E53103" w:rsidRDefault="00E53103" w:rsidP="00E53103">
            <w:pPr>
              <w:numPr>
                <w:ilvl w:val="0"/>
                <w:numId w:val="2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36.337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 de 16/02/2000 (DOM nº 9.193, de 10/03/2000)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o Decreto número 39.921.</w:t>
            </w:r>
          </w:p>
          <w:p w14:paraId="779EEEFD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41.959-A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 de 01/04/2003 (DOM nº 9.920, de 02/04/2003) – Regulamenta a Companhia de Transportes do Município de Belém – CTBEL.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Portarias: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Portaria 0321/03-CTBEL, de 04/08/2003 (DOM nº 10.013, de 27/08/2003) 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Regulamenta a Lei nº 8.222, de 02/01/2003.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Portaria 042/2007 – CTBEL, de 15/02/2007 (DOM nº 10.842, de 22/02/2007)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Fiscalização pela Inspetoria, do uso completo dos uniformes pelos Agentes de Trânsito da CTBEL.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Resoluções: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Resolução 008/00 – CONSAD/CTBEL, (DOM </w:t>
            </w:r>
            <w:proofErr w:type="gramStart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nº )</w:t>
            </w:r>
            <w:proofErr w:type="gram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Dispõe sobre a remuneração dos membros das Juntas Administrativas de Recursos de Infrações – JARÍ do Município de Belém.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003/01 – CONSAD, de 25/04/2001 (DOM nº 9530, de 13/08/2001), republicada no DOM nº 9.560, de 27/09/2001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– Cria a Ouvidoria no âmbito da CTBEL.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005/01 – CONSAD/CTBEL, de 07/08/2001, (DOM nº 9.529, de 10/08/2001)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Cria a Procuradoria Jurídica no âmbito da CTBEL.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009/CONSAD/CTBEL, de 20/12/2001 (DOM nº 9.719, de 03/06/2002)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Dispõe sobre a cessão de servidores no âmbito da CTBEL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001 – A/02 – CONSAD/CTBEL (DOM n. 9687, 2º cad. de 15/04/2002)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– Aprova a nova estrutura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organo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funcional e o regimento interno da CTBEL.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003/02 – CONSAD/CTBEL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Cria a JARI do transporte coletivo.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004/2005 – CONDEL, de 23/08/2005 (DOM nº 10.619, 2º cad., de 15/03/2006)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Aprova a cobrança de tarifas para serviços diversos administrativos relacionados aos ônibus do Município de </w:t>
            </w:r>
            <w:proofErr w:type="gram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Belém.(</w:t>
            </w:r>
            <w:proofErr w:type="gram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Homologada pelo Dec. 49.978, de 19/12/2005)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006/2005 – CONDEL, de 23/08/2005 (DOM nº 10.619, 2º cad., de 15/03/2006)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Aprova a cobrança de tarifas para serviços administrativos diversos executados pela CTBEL. (Homologada pelo Dec. nº 49.980, de 19/12/2005)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007/2005 – CONDEL, de 23/08/2005 (DOM nº 10.619, 2º cad., de 15/03/2006)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Dispõe sobre a uniformização do procedimento para realização de hasta pública dos veículos removidos, recolhidos e apreendidos, a qualquer título, por Órgãos e Entidades componentes do Sistema Nacional de Trânsito, nas vias públicas do Município de Belém e dá outras providências, conforme o disposto no artigo 328, do CTB. (Homologada pelo Dec. 49.981, de 19/12/2005)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004/2006 – CONDEL/CTBEL, de 07/06/2006 (DOM nº 10.678, de 12/06/2006)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a inclusão do cargo de Chefe de Gabinete na Res. nº 001/03 – CONDEL, que estabelece os parâmetros para a concessão do pagamento da gratificação de produtividade às categorias funcionais (FG ou comissionados).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007/2006 – CONDEL/CTBEL, de 07/06/2006 (DOM nº 10.678, de 12/06/2006)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Aprova o pagamento a título de JETONS, aos titulares das Comissões Internas dessa Autarquia: 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lastRenderedPageBreak/>
              <w:t>CPS, CPPAD, CPIA, CAJ e CJR pela participação e trabalhos desenvolvidos nas mesmas. Alterada pela Res. nº 012/2006 – CONDEL/CTBEL, de 01/09/2006 (DOM nº 10.751, de 27/09/2006).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012/06 – CONDEL/CTBEL (DOM nº 10.751, de 27/09/2006)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 a resolução nº 007/2006 – CONDEL/CTBEL, com a modificação da denominação do pagamento aos titulares das Comissões Internas desta Autarquia, de JETONS para Gratificação por Participação em Comissão Administrativa.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Instruções Normativas: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01. IN 001/DSCTBEL,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 05/06/2006 (DOM nº, de 29/06/2006)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Disciplina e orienta, por procedimento formal, as tarefas, ações e decisões relativas aos processos iniciados na Ouvidoria da CTBEL, provenientes de reclamação, denúncia, elogio e/ou sugestão.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02. IN 002/DSCTBEL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 de 17/08/2006 (DOM nº, de 28/08/2006)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Disciplina e orienta, por procedimento formal, as atribuições e a delimitação de competência para a prestação dos serviços de planejamento, regulamentação, coordenação, fiscalização, execução, gerenciamento e avaliação das atividades referentes aos cargos de Chefe de Divisão, Inspetor e Agente de Trânsito da Diretoria de Trânsito da CTBEL.</w:t>
            </w:r>
          </w:p>
        </w:tc>
      </w:tr>
      <w:tr w:rsidR="00E53103" w:rsidRPr="00E53103" w14:paraId="7B76667A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4A2BA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06. CODEM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393F0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</w:p>
          <w:p w14:paraId="709F13E9" w14:textId="77777777" w:rsidR="00E53103" w:rsidRPr="00E53103" w:rsidRDefault="00E53103" w:rsidP="00E53103">
            <w:pPr>
              <w:numPr>
                <w:ilvl w:val="0"/>
                <w:numId w:val="2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6.795, de 24/04/1970 (DOM nº 1.830, de 11/05/1970)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Dispõe sobre a constituição da CODEM e dá outras providências.</w:t>
            </w:r>
          </w:p>
          <w:p w14:paraId="21CBB48D" w14:textId="77777777" w:rsidR="00E53103" w:rsidRPr="00E53103" w:rsidRDefault="00E53103" w:rsidP="00E53103">
            <w:pPr>
              <w:numPr>
                <w:ilvl w:val="0"/>
                <w:numId w:val="2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6.861, de 08/02/1971 (DOM nº 2.019, de 11/02/1971)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dispositivos da Lei nº 6.795, de 24/04/1970, e dá outras providências.</w:t>
            </w:r>
          </w:p>
          <w:p w14:paraId="1EDA5613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3. Lei nº 6.924, de 18/12/1973 (DOM nº 2.726, de 21/12/1973)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Autoriza o Poder Executivo a celebrar convênio com a Companhia de Desenvolvimento e Administração da Área Metropolitana de Belém – CODEM, para construção, manutenção, exploração e administração de Cemitério Público e estabelece providências correlatas.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4. Lei nº 8.739, de 19/05/2010 (DOM nº 11.623, de 19/05/2010)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Institui o Programa Municipal de Regularização Fundiária “Programa Chão Legal”,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Decreto nº 12.524, de 27/05/1970 (DOM nº 1.847, de 03/06/1970)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Subordina à CODEM o Departamento do Patrimônio, Arquivo e Cadastro.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Decreto nº 75.965, de 20/05/2013 (DOM nº 12.340, de 27/05/2013)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Dispõe sobre a remuneração dos serviços e da utilização dos imóveis da CODEM pela Administração Direta e Indireta do Município de Belém,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Resoluções:</w:t>
            </w:r>
          </w:p>
          <w:p w14:paraId="3924CA01" w14:textId="77777777" w:rsidR="00E53103" w:rsidRPr="00E53103" w:rsidRDefault="00E53103" w:rsidP="00E53103">
            <w:pPr>
              <w:numPr>
                <w:ilvl w:val="0"/>
                <w:numId w:val="2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Resolução nº 013/2003, de 31/10/2003 (DOM </w:t>
            </w:r>
            <w:proofErr w:type="gramStart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nº ,</w:t>
            </w:r>
            <w:proofErr w:type="gramEnd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 de)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Institui o Regulamento de Concessão da Medalha de Honra ao Mérito a funcionários da CODEM.</w:t>
            </w:r>
          </w:p>
          <w:p w14:paraId="53665D8E" w14:textId="77777777" w:rsidR="00E53103" w:rsidRPr="00E53103" w:rsidRDefault="00E53103" w:rsidP="00E53103">
            <w:pPr>
              <w:numPr>
                <w:ilvl w:val="0"/>
                <w:numId w:val="2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Resolução nº 012/2006, de 16/11/2006 (DOM nº 10.785, de 24/11/2006)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Alteração do Regulamento de Concessão da Medalha de Honra ao Mérito a funcionários.</w:t>
            </w:r>
          </w:p>
          <w:p w14:paraId="191FFE95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3. Resolução nº 006/2008, de 22/12/2008 (DOM nº 11.299, de 13/01/2009)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Aprova o Regimento Interno decorrente do Projeto de Modernização da CODEM.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4. Resolução nº 009/2008, de 22/12/2008 (DOM nº 11.299, de 13/01/2009)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Institui o Código Disciplinar da CODEM.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Regimento Interno da CODEM.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6"/>
                <w:szCs w:val="16"/>
                <w:lang w:eastAsia="pt-BR"/>
              </w:rPr>
              <w:t>Instrução Normativa: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Instrução Normativa nº 01/2013 – CODEM, de 17/09/2013 (DOM nº 12.433, de 16/10/2013)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– Dispõe sobre o fluxo dos pedidos administrativos de resgate de enfiteuse na CODEM e dá outras providências.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Revogada pela IN nº 01/2014 – CODEM.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2. 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Instrução Normativa nº 01/2014 – CODEM, de 11/03/2014 (DOM nº 12.528, de 12/03/2014)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– Dispõe sobre o fluxo dos pedidos administrativos de resgate de enfiteuse na CODEM e dá outras providências</w:t>
            </w:r>
          </w:p>
        </w:tc>
      </w:tr>
      <w:tr w:rsidR="00E53103" w:rsidRPr="00E53103" w14:paraId="5B206E67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465A0C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07. CINBESA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93E6D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Lei nº 7.217, de 28/12/1982 (DOM nº 4969-A, de 29/12/1982)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Dispõe sobre a constituição da CINBESA e dá outras providências.</w:t>
            </w:r>
          </w:p>
          <w:p w14:paraId="2DDC9AB0" w14:textId="77777777" w:rsidR="00E53103" w:rsidRPr="00E53103" w:rsidRDefault="00E53103" w:rsidP="00E53103">
            <w:pPr>
              <w:numPr>
                <w:ilvl w:val="0"/>
                <w:numId w:val="2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Regimento Interno da CINBESA.</w:t>
            </w:r>
          </w:p>
          <w:p w14:paraId="03272988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</w:p>
          <w:p w14:paraId="107106D9" w14:textId="77777777" w:rsidR="00E53103" w:rsidRPr="00E53103" w:rsidRDefault="00E53103" w:rsidP="00E53103">
            <w:pPr>
              <w:numPr>
                <w:ilvl w:val="0"/>
                <w:numId w:val="2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28.464, de 22/02/96, (DOM nº 8.213, de 28/02/1996)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Reconhece os cursos ministrados pela Companhia de Informática de Belém (CINBESA), para os efeitos do § 2º do art. 1º do Decreto n. 28.055/95, de 20/09/95.</w:t>
            </w:r>
          </w:p>
        </w:tc>
      </w:tr>
      <w:tr w:rsidR="00E53103" w:rsidRPr="00E53103" w14:paraId="11B38C9C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83F69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08. FUNBOSQUE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E55864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</w:p>
          <w:p w14:paraId="177CC57A" w14:textId="77777777" w:rsidR="00E53103" w:rsidRPr="00E53103" w:rsidRDefault="00E53103" w:rsidP="00E53103">
            <w:pPr>
              <w:numPr>
                <w:ilvl w:val="0"/>
                <w:numId w:val="2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7.747, de 02/01/1995 (DOM nº 7.926, de 04/01/1995)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Autoriza o Poder Executivo a criar o Centro de Referência em Educação Ambiental – Escola Bosque “Professor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Eidorfe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Moreira”, na Ilha de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Caratateua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 Distrito de Outeiro, Município de Belém, e dá outras providências.</w:t>
            </w:r>
          </w:p>
          <w:p w14:paraId="28B0A84C" w14:textId="77777777" w:rsidR="00E53103" w:rsidRPr="00E53103" w:rsidRDefault="00E53103" w:rsidP="00E53103">
            <w:pPr>
              <w:numPr>
                <w:ilvl w:val="0"/>
                <w:numId w:val="2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Decreto-Legislativo nº 011, de 06/07/1995 (DOM nº, de 21/07/1995)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Concede poderes ao Prefeito para proceder a mudança na estrutura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organo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-funcional da Fundação de Parques e Áreas Verdes e da Escola Bosque Prof.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Eidorfe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Moreira e dá outras providências.</w:t>
            </w:r>
          </w:p>
          <w:p w14:paraId="1C353052" w14:textId="77777777" w:rsidR="00E53103" w:rsidRPr="00E53103" w:rsidRDefault="00E53103" w:rsidP="00E53103">
            <w:pPr>
              <w:numPr>
                <w:ilvl w:val="0"/>
                <w:numId w:val="2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Lei Delegada nº 002, de 20/11/1995 (DOM nº 8.149, de 24/11/1995)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Introduz mudanças na Lei n. 7.747, de 02/01/95, e dá outras providências.</w:t>
            </w:r>
          </w:p>
          <w:p w14:paraId="3F8B82EB" w14:textId="77777777" w:rsidR="00E53103" w:rsidRPr="00E53103" w:rsidRDefault="00E53103" w:rsidP="00E53103">
            <w:pPr>
              <w:numPr>
                <w:ilvl w:val="0"/>
                <w:numId w:val="2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Delegada nº 003, de 28/12/1995 (DOM nº 8.321, de 01/08/1996)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Introduz mudanças na Lei Delegada n. 002, de 10 de outubro de 1995, e dá outras providências.</w:t>
            </w:r>
          </w:p>
          <w:p w14:paraId="662A55FF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5. Lei nº 8.626, de 08/01/2008 (DOM nº 11.068, de 30/01/2008)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Cria cargos de provimento efetivo no âmbito da Fundação Centro de Referência em educação ambiental escola Bosque “Professor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Eidorfe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Moreira”, altera dispositivo da Lei nº 7.747, de 02 de janeiro de 1995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</w:p>
          <w:p w14:paraId="013215AC" w14:textId="77777777" w:rsidR="00E53103" w:rsidRPr="00E53103" w:rsidRDefault="00E53103" w:rsidP="00E53103">
            <w:pPr>
              <w:numPr>
                <w:ilvl w:val="0"/>
                <w:numId w:val="2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28.837, de 13/06/1996, (DOM nº 8.291, de 20/06/1996)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Cria o Centro de Referência em Escola Ambiental Escola Bosque Professor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Eidorfe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Moreira.</w:t>
            </w:r>
          </w:p>
          <w:p w14:paraId="79760886" w14:textId="77777777" w:rsidR="00E53103" w:rsidRPr="00E53103" w:rsidRDefault="00E53103" w:rsidP="00E53103">
            <w:pPr>
              <w:numPr>
                <w:ilvl w:val="0"/>
                <w:numId w:val="2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28.838, de 13/06/1996, (DOM nº 8.301, de 04/07/1996)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Aprova o Estatuto do Centro de Referência em Educação Ambiental Escola Bosque Professor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Eidorfe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Moreira.</w:t>
            </w:r>
          </w:p>
          <w:p w14:paraId="403200DB" w14:textId="77777777" w:rsidR="00E53103" w:rsidRPr="00E53103" w:rsidRDefault="00E53103" w:rsidP="00E53103">
            <w:pPr>
              <w:numPr>
                <w:ilvl w:val="0"/>
                <w:numId w:val="2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29.407, de 21/11/1996, (DOM nº 8.404, de 28/11/1996)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Homologa o Regimento Interno do Centro de Referência em Educação Ambiental Escola Bosque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Eidorfe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Moreira.</w:t>
            </w:r>
          </w:p>
          <w:p w14:paraId="5957A075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Portaria nº 067/2009 – GP/FUNBOSQUE, de 13/03/2009 (DOM nº 11.347, 25/03/2009)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Estabelece normas para a composição do Conselho Deliberativo e Conselho Escolar da Escola Bosque.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Portaria nº 031/2010 – GP/FUNBOSQUE, de 02/02/2010 (DOM nº 11.556, de 05/02/2010)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Cria a Casa Escola da Pesca.</w:t>
            </w:r>
          </w:p>
        </w:tc>
      </w:tr>
      <w:tr w:rsidR="00E53103" w:rsidRPr="00E53103" w14:paraId="0838F826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2609ED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lastRenderedPageBreak/>
              <w:t>09. AMAE/BELÉM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SAAEB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5786FD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Lei nº 6.777, de 5/01/1970 (DOM nº 1.741, de 5/01/1970)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– Autoriza o Serviço Autônomo de Água e Esgoto do Município de Belém (SAAEB) a contratar com o Banco do Brasil S/A, e destinado a complementação da construção do sistema de abastecimento de água da Vila de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Icoaraci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, a operação de crédito que menciona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1. Lei nº 6.695, de 17/06/1969 (DOM nº 1.605, de 01/07/1969)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Cria o Serviço Autônomo de Água e Esgoto do Município de Belém, e dá outras providências. Modificada pela Lei nº 8.630/2008.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2. Lei nº 8.630, de 07/02/2008 (DOM nº 11.086, de 28/02/2008)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Transforma o Serviço Autônomo de Água e Esgoto de Belém – SAAEB, criado pela Lei no 6.695, de 17 de junho de 1969, em Agência Reguladora Municipal de Água e Esgoto de Belém – AMAE/BELÉM, cria cargos efetivos e em comissão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Decretos: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1. Decreto nº 12.565, de 24/08/1970 (DOM </w:t>
            </w:r>
            <w:proofErr w:type="gramStart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nº ,</w:t>
            </w:r>
            <w:proofErr w:type="gramEnd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 de 02/09/1970)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 regulamento do Serviço Autônomo de Água e Esgoto de Belém (SAAEB).</w:t>
            </w:r>
          </w:p>
          <w:p w14:paraId="3EE27319" w14:textId="77777777" w:rsidR="00E53103" w:rsidRPr="00E53103" w:rsidRDefault="00E53103" w:rsidP="00E53103">
            <w:pPr>
              <w:numPr>
                <w:ilvl w:val="0"/>
                <w:numId w:val="2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33.645, de 19/08/1998, (DOM nº 8.827, de 24/08/1998)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Dispõe sobre o regime jurídico dos servidores do Serviço Autônomo de Água e Esgoto de Belém – SAAEB.</w:t>
            </w:r>
          </w:p>
          <w:p w14:paraId="10666219" w14:textId="77777777" w:rsidR="00E53103" w:rsidRPr="00E53103" w:rsidRDefault="00E53103" w:rsidP="00E53103">
            <w:pPr>
              <w:numPr>
                <w:ilvl w:val="0"/>
                <w:numId w:val="2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Decreto nº 35.018, de 08/03/1999, (DOM nº 8.954, de 09/03/1999)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Cria o grupo de trabalho com o objetivo de coordenar o processo de municipalização do serviço de abastecimento de água de Belém, nomeia seus membros e dá outras providências.</w:t>
            </w:r>
          </w:p>
          <w:p w14:paraId="42CE0EA8" w14:textId="77777777" w:rsidR="00E53103" w:rsidRPr="00E53103" w:rsidRDefault="00E53103" w:rsidP="00E53103">
            <w:pPr>
              <w:numPr>
                <w:ilvl w:val="0"/>
                <w:numId w:val="2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Decreto nº 41.945, de 31/03/2003 (DOM </w:t>
            </w:r>
            <w:proofErr w:type="gramStart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nº ,</w:t>
            </w:r>
            <w:proofErr w:type="gramEnd"/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 xml:space="preserve"> de 24/04/2003)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a estrutura tarifária do Serviço Autônomo de Água e Esgoto de Belém – SAAEB.</w:t>
            </w:r>
          </w:p>
          <w:p w14:paraId="761517FF" w14:textId="77777777" w:rsidR="00E53103" w:rsidRPr="00E53103" w:rsidRDefault="00E53103" w:rsidP="00E5310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5. Decreto nº 62.907, de 01/03/2010 (DOM nº 11.573, de 05/03/2010)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Aprova os valores das tarifas a serem cobradas pelo Serviço Autônomo de Água e Esgoto de Belém – SAAEB, a partir de 01/04/2010,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6. Decreto n° 78.441, de 09/01/2014 (DOM nº 12.488, de 10/01/2014)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Regulamenta a Lei Municipal nº. 8.630, de 07 de fevereiro de 2008,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Portarias:</w:t>
            </w:r>
          </w:p>
          <w:p w14:paraId="22469118" w14:textId="77777777" w:rsidR="00E53103" w:rsidRPr="00E53103" w:rsidRDefault="00E53103" w:rsidP="00E53103">
            <w:pPr>
              <w:numPr>
                <w:ilvl w:val="0"/>
                <w:numId w:val="3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 nº 066, de 15/12/2003, (DOM nº 10.093, de 26/12/2003) –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Institui a Tarifa Social de R$ 4,10, para consumo médio de 10m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vertAlign w:val="superscript"/>
                <w:lang w:eastAsia="pt-BR"/>
              </w:rPr>
              <w:t>3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.</w:t>
            </w:r>
          </w:p>
        </w:tc>
      </w:tr>
      <w:tr w:rsidR="00E53103" w:rsidRPr="00E53103" w14:paraId="558F175A" w14:textId="77777777" w:rsidTr="00E53103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9486A6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10. Fundo Ver o Sol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FE54AA" w14:textId="77777777" w:rsidR="00E53103" w:rsidRPr="00E53103" w:rsidRDefault="00E53103" w:rsidP="00E5310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01. Lei Complementar nº 01, de 20/10/1997 (DOM nº 8.638, 2º CAD, de 05/11/1997)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 – Regulamentada pelo Decreto nº 32.516, de 30/04/1997 (DOM nº 8.756, de 11/05/1998) – Institui o Fundo Municipal de Solidariedade para Geração de Emprego e Renda Ver-O-Sol, cria o Conselho Municipal do Trabalho e Desenvolvimento Econômico Social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02. Lei Complementar nº 003, de 22/06/2005 (DOM nº 10.449, 2º caderno, de 22/06/2005) – 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Altera dispositivos da Lei Complementar nº 01/97, de 20 de outubro de 1997 – fundo municipal de solidariedade para geração de emprego e renda Ver-o-Sol, cria o conselho municipal do trabalho e desenvolvimento econômico social, e dá outras providências.</w:t>
            </w:r>
            <w:r w:rsidRPr="00E53103"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  <w:t> </w:t>
            </w: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Portarias:</w:t>
            </w:r>
          </w:p>
          <w:p w14:paraId="1002C6BE" w14:textId="77777777" w:rsidR="00E53103" w:rsidRPr="00E53103" w:rsidRDefault="00E53103" w:rsidP="00E53103">
            <w:pPr>
              <w:numPr>
                <w:ilvl w:val="0"/>
                <w:numId w:val="3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color w:val="2C2B2B"/>
                <w:sz w:val="18"/>
                <w:szCs w:val="18"/>
                <w:lang w:eastAsia="pt-BR"/>
              </w:rPr>
            </w:pPr>
            <w:r w:rsidRPr="00E53103">
              <w:rPr>
                <w:rFonts w:ascii="Arial" w:eastAsia="Times New Roman" w:hAnsi="Arial" w:cs="Arial"/>
                <w:b/>
                <w:bCs/>
                <w:color w:val="2C2B2B"/>
                <w:sz w:val="16"/>
                <w:szCs w:val="16"/>
                <w:lang w:eastAsia="pt-BR"/>
              </w:rPr>
              <w:t>Portaria Normativa nº 01 – FVS, de 01/09/2010 (DOM nº 11.710, 2º caderno de 01/10/2010)</w:t>
            </w:r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 – Regulamenta os procedimentos na área de crédito quanto a </w:t>
            </w:r>
            <w:proofErr w:type="spellStart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>empreendimentos</w:t>
            </w:r>
            <w:proofErr w:type="spellEnd"/>
            <w:r w:rsidRPr="00E53103">
              <w:rPr>
                <w:rFonts w:ascii="Arial" w:eastAsia="Times New Roman" w:hAnsi="Arial" w:cs="Arial"/>
                <w:color w:val="2C2B2B"/>
                <w:sz w:val="16"/>
                <w:szCs w:val="16"/>
                <w:lang w:eastAsia="pt-BR"/>
              </w:rPr>
              <w:t xml:space="preserve"> inadimplentes.</w:t>
            </w:r>
          </w:p>
        </w:tc>
      </w:tr>
    </w:tbl>
    <w:p w14:paraId="2577BD7B" w14:textId="77777777" w:rsidR="00F730D1" w:rsidRDefault="00F730D1"/>
    <w:sectPr w:rsidR="00F73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DE8"/>
    <w:multiLevelType w:val="multilevel"/>
    <w:tmpl w:val="F02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08F1"/>
    <w:multiLevelType w:val="multilevel"/>
    <w:tmpl w:val="8986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D6484"/>
    <w:multiLevelType w:val="multilevel"/>
    <w:tmpl w:val="B95A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92CDE"/>
    <w:multiLevelType w:val="multilevel"/>
    <w:tmpl w:val="0316A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2794B"/>
    <w:multiLevelType w:val="multilevel"/>
    <w:tmpl w:val="144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0075A"/>
    <w:multiLevelType w:val="multilevel"/>
    <w:tmpl w:val="537AC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A231E"/>
    <w:multiLevelType w:val="multilevel"/>
    <w:tmpl w:val="C41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36A7B"/>
    <w:multiLevelType w:val="multilevel"/>
    <w:tmpl w:val="6EFE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13593"/>
    <w:multiLevelType w:val="multilevel"/>
    <w:tmpl w:val="F0B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14742"/>
    <w:multiLevelType w:val="multilevel"/>
    <w:tmpl w:val="FEE66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D70BB"/>
    <w:multiLevelType w:val="multilevel"/>
    <w:tmpl w:val="25B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02438"/>
    <w:multiLevelType w:val="multilevel"/>
    <w:tmpl w:val="6DAE1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31BF2"/>
    <w:multiLevelType w:val="multilevel"/>
    <w:tmpl w:val="6EB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768D8"/>
    <w:multiLevelType w:val="multilevel"/>
    <w:tmpl w:val="E9E48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31707"/>
    <w:multiLevelType w:val="multilevel"/>
    <w:tmpl w:val="5E56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13707"/>
    <w:multiLevelType w:val="multilevel"/>
    <w:tmpl w:val="A010F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2206C"/>
    <w:multiLevelType w:val="multilevel"/>
    <w:tmpl w:val="FE8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B4B89"/>
    <w:multiLevelType w:val="multilevel"/>
    <w:tmpl w:val="308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23E99"/>
    <w:multiLevelType w:val="multilevel"/>
    <w:tmpl w:val="4CF0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372D1"/>
    <w:multiLevelType w:val="multilevel"/>
    <w:tmpl w:val="F6E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4592C"/>
    <w:multiLevelType w:val="multilevel"/>
    <w:tmpl w:val="8412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33C2C"/>
    <w:multiLevelType w:val="multilevel"/>
    <w:tmpl w:val="2D32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63934"/>
    <w:multiLevelType w:val="multilevel"/>
    <w:tmpl w:val="90C6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C049F5"/>
    <w:multiLevelType w:val="multilevel"/>
    <w:tmpl w:val="E91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C0689"/>
    <w:multiLevelType w:val="multilevel"/>
    <w:tmpl w:val="D67E6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A1702"/>
    <w:multiLevelType w:val="multilevel"/>
    <w:tmpl w:val="D2C68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4718F"/>
    <w:multiLevelType w:val="multilevel"/>
    <w:tmpl w:val="A49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360D23"/>
    <w:multiLevelType w:val="multilevel"/>
    <w:tmpl w:val="3E50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F1C12"/>
    <w:multiLevelType w:val="multilevel"/>
    <w:tmpl w:val="0B4A9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205D1A"/>
    <w:multiLevelType w:val="multilevel"/>
    <w:tmpl w:val="0B74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E3796"/>
    <w:multiLevelType w:val="multilevel"/>
    <w:tmpl w:val="8DDE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26"/>
  </w:num>
  <w:num w:numId="11">
    <w:abstractNumId w:val="27"/>
  </w:num>
  <w:num w:numId="12">
    <w:abstractNumId w:val="5"/>
  </w:num>
  <w:num w:numId="13">
    <w:abstractNumId w:val="9"/>
  </w:num>
  <w:num w:numId="14">
    <w:abstractNumId w:val="21"/>
  </w:num>
  <w:num w:numId="15">
    <w:abstractNumId w:val="14"/>
  </w:num>
  <w:num w:numId="16">
    <w:abstractNumId w:val="0"/>
  </w:num>
  <w:num w:numId="17">
    <w:abstractNumId w:val="16"/>
  </w:num>
  <w:num w:numId="18">
    <w:abstractNumId w:val="29"/>
  </w:num>
  <w:num w:numId="19">
    <w:abstractNumId w:val="3"/>
  </w:num>
  <w:num w:numId="20">
    <w:abstractNumId w:val="23"/>
  </w:num>
  <w:num w:numId="21">
    <w:abstractNumId w:val="24"/>
  </w:num>
  <w:num w:numId="22">
    <w:abstractNumId w:val="15"/>
  </w:num>
  <w:num w:numId="23">
    <w:abstractNumId w:val="18"/>
  </w:num>
  <w:num w:numId="24">
    <w:abstractNumId w:val="30"/>
  </w:num>
  <w:num w:numId="25">
    <w:abstractNumId w:val="11"/>
  </w:num>
  <w:num w:numId="26">
    <w:abstractNumId w:val="12"/>
  </w:num>
  <w:num w:numId="27">
    <w:abstractNumId w:val="8"/>
  </w:num>
  <w:num w:numId="28">
    <w:abstractNumId w:val="22"/>
  </w:num>
  <w:num w:numId="29">
    <w:abstractNumId w:val="25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ED"/>
    <w:rsid w:val="00AB6CED"/>
    <w:rsid w:val="00E53103"/>
    <w:rsid w:val="00F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7FB6"/>
  <w15:chartTrackingRefBased/>
  <w15:docId w15:val="{38AAFD10-0D78-4BDD-9C83-D53B99D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3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31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53103"/>
    <w:rPr>
      <w:b/>
      <w:bCs/>
    </w:rPr>
  </w:style>
  <w:style w:type="character" w:styleId="nfase">
    <w:name w:val="Emphasis"/>
    <w:basedOn w:val="Fontepargpadro"/>
    <w:uiPriority w:val="20"/>
    <w:qFormat/>
    <w:rsid w:val="00E531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4029</Words>
  <Characters>21757</Characters>
  <Application>Microsoft Office Word</Application>
  <DocSecurity>0</DocSecurity>
  <Lines>181</Lines>
  <Paragraphs>51</Paragraphs>
  <ScaleCrop>false</ScaleCrop>
  <Company/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Mansur</dc:creator>
  <cp:keywords/>
  <dc:description/>
  <cp:lastModifiedBy>Fernando Mansur</cp:lastModifiedBy>
  <cp:revision>2</cp:revision>
  <dcterms:created xsi:type="dcterms:W3CDTF">2021-08-16T16:01:00Z</dcterms:created>
  <dcterms:modified xsi:type="dcterms:W3CDTF">2021-08-16T16:01:00Z</dcterms:modified>
</cp:coreProperties>
</file>